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858" w:rsidRDefault="008A2858" w:rsidP="008A2858">
      <w:pPr>
        <w:pStyle w:val="a3"/>
      </w:pPr>
      <w:r>
        <w:rPr>
          <w:rStyle w:val="a4"/>
        </w:rPr>
        <w:t xml:space="preserve">Индикатор Аллигатор </w:t>
      </w:r>
      <w:r>
        <w:t>является весьма интересным подходом оценки направления движения рынка и фильтрации периодов отсутствия тренда (бокового диапазона). Его основная цель, дать вам сигнал зарождающегося тренда.</w:t>
      </w:r>
    </w:p>
    <w:p w:rsidR="008A2858" w:rsidRDefault="008A2858" w:rsidP="008A2858">
      <w:pPr>
        <w:pStyle w:val="a3"/>
        <w:jc w:val="center"/>
      </w:pPr>
      <w:r>
        <w:rPr>
          <w:noProof/>
        </w:rPr>
        <w:drawing>
          <wp:inline distT="0" distB="0" distL="0" distR="0">
            <wp:extent cx="4783455" cy="2770505"/>
            <wp:effectExtent l="0" t="0" r="0" b="0"/>
            <wp:docPr id="3" name="Рисунок 3" descr="Индикатор аллигатор (allig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ндикатор аллигатор (allig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3455" cy="2770505"/>
                    </a:xfrm>
                    <a:prstGeom prst="rect">
                      <a:avLst/>
                    </a:prstGeom>
                    <a:noFill/>
                    <a:ln>
                      <a:noFill/>
                    </a:ln>
                  </pic:spPr>
                </pic:pic>
              </a:graphicData>
            </a:graphic>
          </wp:inline>
        </w:drawing>
      </w:r>
    </w:p>
    <w:p w:rsidR="008A2858" w:rsidRDefault="008A2858" w:rsidP="008A2858">
      <w:pPr>
        <w:pStyle w:val="a3"/>
      </w:pPr>
      <w:r>
        <w:rPr>
          <w:rStyle w:val="a4"/>
        </w:rPr>
        <w:t>Индикатор Аллигатор</w:t>
      </w:r>
      <w:r>
        <w:t xml:space="preserve"> можно использовать для определения того, насколько сильным будет последующее движение на рынке. </w:t>
      </w:r>
    </w:p>
    <w:p w:rsidR="008A2858" w:rsidRDefault="008A2858" w:rsidP="008A2858">
      <w:pPr>
        <w:pStyle w:val="a3"/>
      </w:pPr>
      <w:r>
        <w:t xml:space="preserve">Это, как правило, можно определить по тому времени, которое линии </w:t>
      </w:r>
      <w:proofErr w:type="gramStart"/>
      <w:r>
        <w:t>скользящих</w:t>
      </w:r>
      <w:proofErr w:type="gramEnd"/>
      <w:r>
        <w:t xml:space="preserve"> средних находятся в переплетенном состоянии. Чем больше это время, тем больше, как правило, последующее трендовое движение. </w:t>
      </w:r>
      <w:proofErr w:type="gramStart"/>
      <w:r>
        <w:t>Однако использование скользящих средних подобных Аллигатору - не лучший метод.</w:t>
      </w:r>
      <w:proofErr w:type="gramEnd"/>
      <w:r>
        <w:t xml:space="preserve">  Альтернатива этому – отслеживание любого показателя волатильности, например стандартного отклонения (среднеквадратического отклонения), или основанных на этих показателях индикаторов, например </w:t>
      </w:r>
      <w:proofErr w:type="spellStart"/>
      <w:r>
        <w:t>Bollinger</w:t>
      </w:r>
      <w:proofErr w:type="spellEnd"/>
      <w:r>
        <w:t xml:space="preserve"> </w:t>
      </w:r>
      <w:proofErr w:type="spellStart"/>
      <w:r>
        <w:t>Bands</w:t>
      </w:r>
      <w:proofErr w:type="spellEnd"/>
      <w:r>
        <w:t xml:space="preserve">. </w:t>
      </w:r>
    </w:p>
    <w:p w:rsidR="008A2858" w:rsidRDefault="008A2858" w:rsidP="008A2858">
      <w:pPr>
        <w:pStyle w:val="1"/>
      </w:pPr>
      <w:r>
        <w:rPr>
          <w:rStyle w:val="a4"/>
        </w:rPr>
        <w:t>Сигналы подготовки к входу в рынок</w:t>
      </w:r>
      <w:r>
        <w:t xml:space="preserve"> </w:t>
      </w:r>
    </w:p>
    <w:p w:rsidR="008A2858" w:rsidRPr="008A2858" w:rsidRDefault="008A2858" w:rsidP="008A2858">
      <w:pPr>
        <w:pStyle w:val="a3"/>
      </w:pPr>
      <w:r>
        <w:t xml:space="preserve">Если в период торгового диапазона амплитуда колебаний скользящих средних начинает увеличиваться и пространство между линиями немного растет, это означает что, скорее всего, начинается новый тренд, направление которого покажет первый появившийся </w:t>
      </w:r>
      <w:r w:rsidRPr="008A2858">
        <w:t>фрактал. После появления первого фрактала можно начинать готовится к торговле.</w:t>
      </w:r>
    </w:p>
    <w:p w:rsidR="008A2858" w:rsidRPr="008A2858" w:rsidRDefault="008A2858" w:rsidP="008A2858">
      <w:pPr>
        <w:pStyle w:val="a3"/>
      </w:pPr>
      <w:r w:rsidRPr="008A2858">
        <w:t xml:space="preserve">Для сигналов входа в рынок индикатор Аллигатора обычно не использую в чистом виде. Обычно сигналом для покупки является движение линий аллигатора вверх и пробитие рынком фрактала, направленного вверх. Покупка осуществляется либо на уровне </w:t>
      </w:r>
      <w:r w:rsidRPr="008A2858">
        <w:rPr>
          <w:rStyle w:val="a4"/>
          <w:u w:val="single"/>
        </w:rPr>
        <w:t>фрактала</w:t>
      </w:r>
      <w:r w:rsidRPr="008A2858">
        <w:t xml:space="preserve">, либо чуть выше. При этом фрактал должен быть выше всех трех </w:t>
      </w:r>
      <w:r w:rsidRPr="008A2858">
        <w:rPr>
          <w:rStyle w:val="a4"/>
          <w:u w:val="single"/>
        </w:rPr>
        <w:t>скользящих средних</w:t>
      </w:r>
      <w:r w:rsidRPr="008A2858">
        <w:t xml:space="preserve"> Сигналом на продажу является обратный, т.е. движение линий аллигатора вниз и пробитие рынком </w:t>
      </w:r>
      <w:r w:rsidRPr="008A2858">
        <w:rPr>
          <w:rStyle w:val="a4"/>
          <w:u w:val="single"/>
        </w:rPr>
        <w:t>фрактала</w:t>
      </w:r>
      <w:r w:rsidRPr="008A2858">
        <w:t>, направленного вниз,</w:t>
      </w:r>
      <w:bookmarkStart w:id="0" w:name="_GoBack"/>
      <w:bookmarkEnd w:id="0"/>
      <w:r w:rsidRPr="008A2858">
        <w:t xml:space="preserve"> при этом фрактал должен быть ниже скользящих. Иногда для подтверждения сигнала ждут еще один фрактал, который должен быть выше (для сделки на покупку) или соответственно ниже (для сделки на продажу) предыдущего </w:t>
      </w:r>
      <w:r w:rsidRPr="008A2858">
        <w:rPr>
          <w:rStyle w:val="a4"/>
          <w:u w:val="single"/>
        </w:rPr>
        <w:t>фрактала</w:t>
      </w:r>
      <w:r w:rsidRPr="008A2858">
        <w:t>.</w:t>
      </w:r>
    </w:p>
    <w:p w:rsidR="008A2858" w:rsidRDefault="008A2858" w:rsidP="008A2858">
      <w:pPr>
        <w:pStyle w:val="2"/>
      </w:pPr>
      <w:r>
        <w:rPr>
          <w:rStyle w:val="a4"/>
        </w:rPr>
        <w:lastRenderedPageBreak/>
        <w:t>Для добавления к уже существующей позиции.</w:t>
      </w:r>
      <w:r>
        <w:t xml:space="preserve"> </w:t>
      </w:r>
    </w:p>
    <w:p w:rsidR="008A2858" w:rsidRDefault="008A2858" w:rsidP="008A2858">
      <w:pPr>
        <w:pStyle w:val="a3"/>
      </w:pPr>
      <w:r>
        <w:t xml:space="preserve">Добавление объема к уже существующей позиции происходи в случае, если ситуация предыдущего правила остается, и появляется следующий фрактал далее предыдущего. </w:t>
      </w:r>
    </w:p>
    <w:p w:rsidR="008A2858" w:rsidRDefault="008A2858" w:rsidP="008A2858">
      <w:pPr>
        <w:pStyle w:val="3"/>
      </w:pPr>
      <w:r>
        <w:rPr>
          <w:rStyle w:val="a4"/>
        </w:rPr>
        <w:t>Для определения тренда.</w:t>
      </w:r>
      <w:r>
        <w:t xml:space="preserve"> </w:t>
      </w:r>
    </w:p>
    <w:p w:rsidR="008A2858" w:rsidRDefault="008A2858" w:rsidP="008A2858">
      <w:pPr>
        <w:pStyle w:val="a3"/>
      </w:pPr>
      <w:r>
        <w:t>Если скользящая средняя с периодом 13 (</w:t>
      </w:r>
      <w:r>
        <w:rPr>
          <w:rStyle w:val="a5"/>
        </w:rPr>
        <w:t>Челюсти Аллигатора</w:t>
      </w:r>
      <w:r>
        <w:t>) находится в наибольшем удалении от ценовых баров, 8-периодная скользящая средняя (</w:t>
      </w:r>
      <w:r>
        <w:rPr>
          <w:rStyle w:val="a5"/>
        </w:rPr>
        <w:t>Зубы Аллигатора</w:t>
      </w:r>
      <w:r>
        <w:t>) находится между 13- и 5-периодной скользящими средними, а последняя 5-периодная скользящая средняя (</w:t>
      </w:r>
      <w:r>
        <w:rPr>
          <w:rStyle w:val="a5"/>
        </w:rPr>
        <w:t>Губы Аллигатора</w:t>
      </w:r>
      <w:r>
        <w:t xml:space="preserve">) находится ближе всего к ценовому графику, то на рынке начинается тренд. Чем дальше эти линии находятся друг от друга, тем сильнее тренд. Тренд заканчивается, если </w:t>
      </w:r>
      <w:proofErr w:type="gramStart"/>
      <w:r>
        <w:t>скользящие</w:t>
      </w:r>
      <w:proofErr w:type="gramEnd"/>
      <w:r>
        <w:t xml:space="preserve"> средние начинают пересекаться с ценами и между собой.</w:t>
      </w:r>
    </w:p>
    <w:p w:rsidR="008A2858" w:rsidRDefault="008A2858" w:rsidP="008A2858">
      <w:pPr>
        <w:pStyle w:val="3"/>
      </w:pPr>
      <w:r>
        <w:rPr>
          <w:rStyle w:val="a4"/>
        </w:rPr>
        <w:t>Для установки стопа.</w:t>
      </w:r>
      <w:r>
        <w:t xml:space="preserve"> </w:t>
      </w:r>
    </w:p>
    <w:p w:rsidR="008A2858" w:rsidRDefault="008A2858" w:rsidP="008A2858">
      <w:pPr>
        <w:pStyle w:val="a3"/>
      </w:pPr>
      <w:r>
        <w:t xml:space="preserve">В качестве уровня стоп приказов при торговле по тренду используют 13-периодную скользящую среднюю 1 – «Челюсти Аллигатора».  Однако в зависимости от того, какой риск собирается нести трейдер он может использовать в качестве уровня </w:t>
      </w:r>
      <w:proofErr w:type="spellStart"/>
      <w:r>
        <w:rPr>
          <w:rStyle w:val="a5"/>
        </w:rPr>
        <w:t>Stop</w:t>
      </w:r>
      <w:proofErr w:type="spellEnd"/>
      <w:r>
        <w:rPr>
          <w:rStyle w:val="a5"/>
        </w:rPr>
        <w:t xml:space="preserve"> </w:t>
      </w:r>
      <w:proofErr w:type="spellStart"/>
      <w:r>
        <w:rPr>
          <w:rStyle w:val="a5"/>
        </w:rPr>
        <w:t>loss</w:t>
      </w:r>
      <w:proofErr w:type="spellEnd"/>
      <w:r>
        <w:t xml:space="preserve"> любую из этих линий. Установка стопа на самой длинной линии (13-периодной, синей) повышает риск потерь, поскольку к моменту достижения этой линии ценой, трейдер может уже находиться в убытках. Установка стопа на самой быстрой линии (5-периодной, зеленой) приводит к тому, что трейдер закроет позицию при малейших признаках окончания тренда, а значит, может пропустить большую часть тренда и не дополучить прибыль.</w:t>
      </w:r>
    </w:p>
    <w:p w:rsidR="008A2858" w:rsidRDefault="008A2858" w:rsidP="008A2858">
      <w:pPr>
        <w:pStyle w:val="a3"/>
        <w:jc w:val="center"/>
      </w:pPr>
      <w:r>
        <w:rPr>
          <w:noProof/>
        </w:rPr>
        <w:drawing>
          <wp:inline distT="0" distB="0" distL="0" distR="0">
            <wp:extent cx="5875260" cy="3402862"/>
            <wp:effectExtent l="0" t="0" r="0" b="7620"/>
            <wp:docPr id="2" name="Рисунок 2" descr="Индикатор аллигатор (allig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Индикатор аллигатор (alligato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75279" cy="3402873"/>
                    </a:xfrm>
                    <a:prstGeom prst="rect">
                      <a:avLst/>
                    </a:prstGeom>
                    <a:noFill/>
                    <a:ln>
                      <a:noFill/>
                    </a:ln>
                  </pic:spPr>
                </pic:pic>
              </a:graphicData>
            </a:graphic>
          </wp:inline>
        </w:drawing>
      </w:r>
    </w:p>
    <w:p w:rsidR="008A2858" w:rsidRPr="008A2858" w:rsidRDefault="008A2858" w:rsidP="008A2858">
      <w:pPr>
        <w:pStyle w:val="a3"/>
        <w:rPr>
          <w:lang w:val="en-US"/>
        </w:rPr>
      </w:pPr>
      <w:r w:rsidRPr="008A2858">
        <w:rPr>
          <w:lang w:val="en-US"/>
        </w:rPr>
        <w:t> </w:t>
      </w:r>
    </w:p>
    <w:p w:rsidR="008A2858" w:rsidRDefault="008A2858" w:rsidP="008A2858">
      <w:pPr>
        <w:pStyle w:val="a3"/>
        <w:jc w:val="center"/>
      </w:pPr>
      <w:r>
        <w:rPr>
          <w:noProof/>
        </w:rPr>
        <w:lastRenderedPageBreak/>
        <w:drawing>
          <wp:inline distT="0" distB="0" distL="0" distR="0">
            <wp:extent cx="6059342" cy="3637544"/>
            <wp:effectExtent l="0" t="0" r="0" b="1270"/>
            <wp:docPr id="1" name="Рисунок 1" descr="Индикатор аллигатор (allig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ндикатор аллигатор (alligato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9764" cy="3637797"/>
                    </a:xfrm>
                    <a:prstGeom prst="rect">
                      <a:avLst/>
                    </a:prstGeom>
                    <a:noFill/>
                    <a:ln>
                      <a:noFill/>
                    </a:ln>
                  </pic:spPr>
                </pic:pic>
              </a:graphicData>
            </a:graphic>
          </wp:inline>
        </w:drawing>
      </w:r>
    </w:p>
    <w:p w:rsidR="005052B8" w:rsidRDefault="005052B8"/>
    <w:p w:rsidR="008A2858" w:rsidRPr="0019524D" w:rsidRDefault="008A2858" w:rsidP="008A2858">
      <w:pPr>
        <w:pStyle w:val="a3"/>
        <w:contextualSpacing/>
        <w:jc w:val="center"/>
        <w:rPr>
          <w:rFonts w:asciiTheme="minorHAnsi" w:hAnsiTheme="minorHAnsi"/>
        </w:rPr>
      </w:pPr>
      <w:r w:rsidRPr="0019524D">
        <w:rPr>
          <w:rFonts w:asciiTheme="minorHAnsi" w:hAnsiTheme="minorHAnsi"/>
        </w:rPr>
        <w:t xml:space="preserve">Материал предоставлен информационным порталом </w:t>
      </w:r>
      <w:hyperlink r:id="rId8" w:history="1">
        <w:r w:rsidRPr="0019524D">
          <w:rPr>
            <w:rStyle w:val="a8"/>
            <w:rFonts w:asciiTheme="minorHAnsi" w:hAnsiTheme="minorHAnsi"/>
          </w:rPr>
          <w:t>InfoFx.ru</w:t>
        </w:r>
      </w:hyperlink>
    </w:p>
    <w:p w:rsidR="008A2858" w:rsidRDefault="008A2858"/>
    <w:sectPr w:rsidR="008A28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FC8"/>
    <w:rsid w:val="005052B8"/>
    <w:rsid w:val="00861FC8"/>
    <w:rsid w:val="008A2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A28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A28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A285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28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A2858"/>
    <w:rPr>
      <w:b/>
      <w:bCs/>
    </w:rPr>
  </w:style>
  <w:style w:type="character" w:styleId="a5">
    <w:name w:val="Emphasis"/>
    <w:basedOn w:val="a0"/>
    <w:uiPriority w:val="20"/>
    <w:qFormat/>
    <w:rsid w:val="008A2858"/>
    <w:rPr>
      <w:i/>
      <w:iCs/>
    </w:rPr>
  </w:style>
  <w:style w:type="paragraph" w:styleId="a6">
    <w:name w:val="Balloon Text"/>
    <w:basedOn w:val="a"/>
    <w:link w:val="a7"/>
    <w:uiPriority w:val="99"/>
    <w:semiHidden/>
    <w:unhideWhenUsed/>
    <w:rsid w:val="008A285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2858"/>
    <w:rPr>
      <w:rFonts w:ascii="Tahoma" w:hAnsi="Tahoma" w:cs="Tahoma"/>
      <w:sz w:val="16"/>
      <w:szCs w:val="16"/>
    </w:rPr>
  </w:style>
  <w:style w:type="character" w:customStyle="1" w:styleId="10">
    <w:name w:val="Заголовок 1 Знак"/>
    <w:basedOn w:val="a0"/>
    <w:link w:val="1"/>
    <w:uiPriority w:val="9"/>
    <w:rsid w:val="008A285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A285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A2858"/>
    <w:rPr>
      <w:rFonts w:asciiTheme="majorHAnsi" w:eastAsiaTheme="majorEastAsia" w:hAnsiTheme="majorHAnsi" w:cstheme="majorBidi"/>
      <w:b/>
      <w:bCs/>
      <w:color w:val="4F81BD" w:themeColor="accent1"/>
    </w:rPr>
  </w:style>
  <w:style w:type="character" w:styleId="a8">
    <w:name w:val="Hyperlink"/>
    <w:basedOn w:val="a0"/>
    <w:uiPriority w:val="99"/>
    <w:semiHidden/>
    <w:unhideWhenUsed/>
    <w:rsid w:val="008A28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A28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A285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A285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28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A2858"/>
    <w:rPr>
      <w:b/>
      <w:bCs/>
    </w:rPr>
  </w:style>
  <w:style w:type="character" w:styleId="a5">
    <w:name w:val="Emphasis"/>
    <w:basedOn w:val="a0"/>
    <w:uiPriority w:val="20"/>
    <w:qFormat/>
    <w:rsid w:val="008A2858"/>
    <w:rPr>
      <w:i/>
      <w:iCs/>
    </w:rPr>
  </w:style>
  <w:style w:type="paragraph" w:styleId="a6">
    <w:name w:val="Balloon Text"/>
    <w:basedOn w:val="a"/>
    <w:link w:val="a7"/>
    <w:uiPriority w:val="99"/>
    <w:semiHidden/>
    <w:unhideWhenUsed/>
    <w:rsid w:val="008A285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2858"/>
    <w:rPr>
      <w:rFonts w:ascii="Tahoma" w:hAnsi="Tahoma" w:cs="Tahoma"/>
      <w:sz w:val="16"/>
      <w:szCs w:val="16"/>
    </w:rPr>
  </w:style>
  <w:style w:type="character" w:customStyle="1" w:styleId="10">
    <w:name w:val="Заголовок 1 Знак"/>
    <w:basedOn w:val="a0"/>
    <w:link w:val="1"/>
    <w:uiPriority w:val="9"/>
    <w:rsid w:val="008A285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A285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A2858"/>
    <w:rPr>
      <w:rFonts w:asciiTheme="majorHAnsi" w:eastAsiaTheme="majorEastAsia" w:hAnsiTheme="majorHAnsi" w:cstheme="majorBidi"/>
      <w:b/>
      <w:bCs/>
      <w:color w:val="4F81BD" w:themeColor="accent1"/>
    </w:rPr>
  </w:style>
  <w:style w:type="character" w:styleId="a8">
    <w:name w:val="Hyperlink"/>
    <w:basedOn w:val="a0"/>
    <w:uiPriority w:val="99"/>
    <w:semiHidden/>
    <w:unhideWhenUsed/>
    <w:rsid w:val="008A28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06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fx.ru/" TargetMode="External"/><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501</Words>
  <Characters>2859</Characters>
  <Application>Microsoft Office Word</Application>
  <DocSecurity>0</DocSecurity>
  <Lines>23</Lines>
  <Paragraphs>6</Paragraphs>
  <ScaleCrop>false</ScaleCrop>
  <Company>SPecialiST RePack</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Home-Block</dc:creator>
  <cp:keywords/>
  <dc:description/>
  <cp:lastModifiedBy>Home-Block</cp:lastModifiedBy>
  <cp:revision>2</cp:revision>
  <dcterms:created xsi:type="dcterms:W3CDTF">2017-03-04T10:00:00Z</dcterms:created>
  <dcterms:modified xsi:type="dcterms:W3CDTF">2017-03-04T10:02:00Z</dcterms:modified>
</cp:coreProperties>
</file>