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>Советник был написан исходя из трех составляющих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1 - Хороший вход в рынок 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 xml:space="preserve">( </w:t>
      </w:r>
      <w:proofErr w:type="gram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Для этого я перебрал больше десятка торговых тактик, целью было найти тактику которая имела бы как минимум 8 удачных входов против 2 неудачных ) 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>2 - Удерживать позицию до получения запланированной прибыли.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3 - Положительный выход по профиту и вывод статистических 2 убыточных сделок в ноль, 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 xml:space="preserve">( </w:t>
      </w:r>
      <w:proofErr w:type="gram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Дабы нас не расстраивал 0 при закрытии ордеров был добавлен параметр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Plus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который добавляет несколько пунктов в плюс)</w:t>
      </w:r>
    </w:p>
    <w:p w:rsidR="00730C2F" w:rsidRPr="00730C2F" w:rsidRDefault="00730C2F" w:rsidP="00730C2F">
      <w:pPr>
        <w:pStyle w:val="1"/>
        <w:rPr>
          <w:rFonts w:asciiTheme="minorHAnsi" w:eastAsia="Times New Roman" w:hAnsiTheme="minorHAnsi"/>
          <w:lang w:eastAsia="ru-RU"/>
        </w:rPr>
      </w:pPr>
      <w:r w:rsidRPr="00730C2F">
        <w:rPr>
          <w:rFonts w:asciiTheme="minorHAnsi" w:eastAsia="Times New Roman" w:hAnsiTheme="minorHAnsi"/>
          <w:lang w:eastAsia="ru-RU"/>
        </w:rPr>
        <w:t xml:space="preserve">1 - Хороший вход в рынок 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Я думаю многие из Вас слушают новости о фондовых 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>рынках</w:t>
      </w:r>
      <w:proofErr w:type="gram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где часто говорят цена выросла на 2 % на 1% и т, д. Мною была детально исследована статистика по торговой тактике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перекупленности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перепроданности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рынка,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тоесть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мы имеем минимум или максимум дня цену валюты 1,23000 для открытия сделки советнику нужен рост или падение, которое задается параметром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Percent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по умолчанию в советнике идет 1,3 соответственно советник продаст при достижении цены 1,2423 </w:t>
      </w:r>
    </w:p>
    <w:p w:rsidR="00730C2F" w:rsidRPr="00730C2F" w:rsidRDefault="00730C2F" w:rsidP="00730C2F">
      <w:pPr>
        <w:spacing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Минимум дня 1,23000, текущая цена 1,25000, порог при котором продать </w:t>
      </w:r>
      <w:proofErr w:type="spellStart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Percent</w:t>
      </w:r>
      <w:proofErr w:type="spellEnd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1,3 % (((текущая цена 1,25000*100</w:t>
      </w:r>
      <w:proofErr w:type="gramStart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)</w:t>
      </w:r>
      <w:proofErr w:type="gramEnd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/Минимум дня 1,23000)-100)&gt;=</w:t>
      </w:r>
      <w:proofErr w:type="spellStart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Percent</w:t>
      </w:r>
      <w:proofErr w:type="spellEnd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1,3 %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сигнал на покупку получается обратный этому. Таким </w:t>
      </w:r>
      <w:proofErr w:type="gramStart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образом</w:t>
      </w:r>
      <w:proofErr w:type="gramEnd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мы берем откат от сильного движения цены !...</w:t>
      </w:r>
    </w:p>
    <w:p w:rsidR="00730C2F" w:rsidRPr="00730C2F" w:rsidRDefault="00730C2F" w:rsidP="00730C2F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6660CBF7" wp14:editId="2A7DB705">
            <wp:extent cx="7143750" cy="3549650"/>
            <wp:effectExtent l="0" t="0" r="0" b="0"/>
            <wp:docPr id="4" name="Рисунок 4" descr="https://c.mql5.com/18/26/ScreenShotw16_small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.mql5.com/18/26/ScreenShotw16_small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354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Большинство других тактик не 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>подпадало под соотношение 8/2 было</w:t>
      </w:r>
      <w:proofErr w:type="gram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все что угодно и 5/5 и 3/7 и др. </w:t>
      </w:r>
    </w:p>
    <w:p w:rsidR="00730C2F" w:rsidRPr="00730C2F" w:rsidRDefault="00730C2F" w:rsidP="00730C2F">
      <w:pPr>
        <w:pStyle w:val="1"/>
        <w:rPr>
          <w:rFonts w:asciiTheme="minorHAnsi" w:eastAsia="Times New Roman" w:hAnsiTheme="minorHAnsi"/>
          <w:lang w:eastAsia="ru-RU"/>
        </w:rPr>
      </w:pPr>
      <w:r w:rsidRPr="00730C2F">
        <w:rPr>
          <w:rFonts w:asciiTheme="minorHAnsi" w:eastAsia="Times New Roman" w:hAnsiTheme="minorHAnsi"/>
          <w:lang w:eastAsia="ru-RU"/>
        </w:rPr>
        <w:lastRenderedPageBreak/>
        <w:t xml:space="preserve">2 - Удерживать позицию до получения запланированной прибыли. 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Удержание позиции идет методом не вмешательства советника при положительном результате первого ордера, а именно открыт первый одер и если цена идет правильно и дает 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>прибыль</w:t>
      </w:r>
      <w:proofErr w:type="gram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советник ждет исполнения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тейк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профита. При использовании расчета лота от депозита (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Lots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= 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>0</w:t>
      </w:r>
      <w:proofErr w:type="gram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Percent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=&gt; 1) каждая новая сделка будет иметь при положительном результате лот чуть больше предыдущего. Для расчета лота по проценту от свободных средств был взят код из </w:t>
      </w:r>
      <w:r w:rsidRPr="00730C2F"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t>учебника MQL4</w:t>
      </w:r>
      <w:r w:rsidRPr="00730C2F">
        <w:rPr>
          <w:rFonts w:eastAsia="Times New Roman" w:cs="Times New Roman"/>
          <w:sz w:val="24"/>
          <w:szCs w:val="24"/>
          <w:lang w:eastAsia="ru-RU"/>
        </w:rPr>
        <w:t>. Код видоизменен и позволяет задавать процент с десятичным значением (1,1% 1,8% 35,69%)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 xml:space="preserve">3 - Положительный выход по профиту и вывод статистических 2 убыточных сделок в ноль, </w:t>
      </w:r>
      <w:proofErr w:type="gramStart"/>
      <w:r w:rsidRPr="00730C2F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 xml:space="preserve">( </w:t>
      </w:r>
      <w:proofErr w:type="gramEnd"/>
      <w:r w:rsidRPr="00730C2F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 xml:space="preserve">Дабы нас не расстраивал 0 при закрытии ордеров был добавлен параметр </w:t>
      </w:r>
      <w:proofErr w:type="spellStart"/>
      <w:r w:rsidRPr="00730C2F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Plus</w:t>
      </w:r>
      <w:proofErr w:type="spellEnd"/>
      <w:r w:rsidRPr="00730C2F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 xml:space="preserve"> который добавляет несколько пунктов в плюс)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Выход из убыточной сделки происходит методом усреднения </w:t>
      </w:r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(Усреднение-добавление к текущей позиции в рынке позицией такого же типа и таким же объёмом)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тоесть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цена пошла против нас против нашей позиции в рынке то советник откроет сделку такого же типа, В 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>расчете</w:t>
      </w:r>
      <w:proofErr w:type="gram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что цена откатит до состояния когда прибыль по сделкам будет равна 0. При усреднении без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Мартингейла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советнику для закрытия в ноль нужен откат в 50-52 % в зависимости от спреда и комиссии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График с использованием постоянного объема торговли </w:t>
      </w:r>
    </w:p>
    <w:p w:rsidR="00730C2F" w:rsidRPr="00730C2F" w:rsidRDefault="00730C2F" w:rsidP="00730C2F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33E3110F" wp14:editId="291248EA">
            <wp:extent cx="7143750" cy="971550"/>
            <wp:effectExtent l="0" t="0" r="0" b="0"/>
            <wp:docPr id="3" name="Рисунок 3" descr="https://c.mql5.com/18/26/TesterGraph_2_small.gif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.mql5.com/18/26/TesterGraph_2_small.gif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С использованием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Мартингейла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советнику достаточно отката в размере 20-22% что бы закрыть серию ордеров</w:t>
      </w:r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730C2F" w:rsidRPr="00730C2F" w:rsidRDefault="00730C2F" w:rsidP="00730C2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(Усреднение по </w:t>
      </w:r>
      <w:proofErr w:type="spellStart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Мартингейлу</w:t>
      </w:r>
      <w:proofErr w:type="spellEnd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-д</w:t>
      </w:r>
      <w:proofErr w:type="gramEnd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обавление к текущей позиции в рынке позицией такого же типа и лотом большем чем у предыдущей сделки)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Метод с </w:t>
      </w:r>
      <w:proofErr w:type="spellStart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Мартингейлом</w:t>
      </w:r>
      <w:proofErr w:type="spellEnd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считается Высоко </w:t>
      </w:r>
      <w:proofErr w:type="gramStart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рискованным</w:t>
      </w:r>
      <w:proofErr w:type="gramEnd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так как при движении в 300-400 пунктов потребуется значительное </w:t>
      </w:r>
      <w:proofErr w:type="spellStart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>колличество</w:t>
      </w:r>
      <w:proofErr w:type="spellEnd"/>
      <w:r w:rsidRPr="00730C2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средств на депозите 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График с использованием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Мартингейла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объемы варьируются от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колличества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открытых позиций</w:t>
      </w:r>
    </w:p>
    <w:p w:rsidR="00730C2F" w:rsidRPr="00730C2F" w:rsidRDefault="00730C2F" w:rsidP="00730C2F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3D83F207" wp14:editId="09E8D927">
            <wp:extent cx="7143750" cy="971550"/>
            <wp:effectExtent l="0" t="0" r="0" b="0"/>
            <wp:docPr id="2" name="Рисунок 2" descr="https://c.mql5.com/18/26/TesterGraph2_small.gif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.mql5.com/18/26/TesterGraph2_small.gif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Для усреднения, для установки открытия следующего добавочного ордера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ипользуется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параметр </w:t>
      </w:r>
      <w:proofErr w:type="spellStart"/>
      <w:proofErr w:type="gramStart"/>
      <w:r w:rsidRPr="00730C2F">
        <w:rPr>
          <w:rFonts w:eastAsia="Times New Roman" w:cs="Times New Roman"/>
          <w:sz w:val="24"/>
          <w:szCs w:val="24"/>
          <w:lang w:eastAsia="ru-RU"/>
        </w:rPr>
        <w:t>Distanciya</w:t>
      </w:r>
      <w:proofErr w:type="spellEnd"/>
      <w:proofErr w:type="gram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которая указывается в пунктах, а также параметр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ShagDist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который с каждым новым ордером увеличивает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растояние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на заданное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колличество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пунктов.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730C2F">
        <w:rPr>
          <w:rFonts w:eastAsia="Times New Roman" w:cs="Times New Roman"/>
          <w:b/>
          <w:sz w:val="24"/>
          <w:szCs w:val="24"/>
          <w:lang w:eastAsia="ru-RU"/>
        </w:rPr>
        <w:t xml:space="preserve">В советнике </w:t>
      </w:r>
      <w:proofErr w:type="spellStart"/>
      <w:r w:rsidRPr="00730C2F">
        <w:rPr>
          <w:rFonts w:eastAsia="Times New Roman" w:cs="Times New Roman"/>
          <w:b/>
          <w:sz w:val="24"/>
          <w:szCs w:val="24"/>
          <w:lang w:eastAsia="ru-RU"/>
        </w:rPr>
        <w:t>присутсвует</w:t>
      </w:r>
      <w:proofErr w:type="spellEnd"/>
      <w:r w:rsidRPr="00730C2F">
        <w:rPr>
          <w:rFonts w:eastAsia="Times New Roman" w:cs="Times New Roman"/>
          <w:b/>
          <w:sz w:val="24"/>
          <w:szCs w:val="24"/>
          <w:lang w:eastAsia="ru-RU"/>
        </w:rPr>
        <w:t xml:space="preserve"> параметр для изменения метода усреднения </w:t>
      </w:r>
    </w:p>
    <w:p w:rsidR="00730C2F" w:rsidRPr="00730C2F" w:rsidRDefault="00730C2F" w:rsidP="00730C2F">
      <w:pPr>
        <w:spacing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Классический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Martin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>=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False</w:t>
      </w:r>
      <w:proofErr w:type="spellEnd"/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По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Мартингейлу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Martin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>=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True</w:t>
      </w:r>
      <w:proofErr w:type="spellEnd"/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Slip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>=2; Проскальзывание в пунктах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Magic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=1; </w:t>
      </w:r>
      <w:proofErr w:type="spellStart"/>
      <w:r w:rsidRPr="00730C2F">
        <w:rPr>
          <w:rFonts w:eastAsia="Times New Roman" w:cs="Times New Roman"/>
          <w:sz w:val="24"/>
          <w:szCs w:val="24"/>
          <w:lang w:eastAsia="ru-RU"/>
        </w:rPr>
        <w:t>Меджик</w:t>
      </w:r>
      <w:proofErr w:type="spellEnd"/>
      <w:r w:rsidRPr="00730C2F">
        <w:rPr>
          <w:rFonts w:eastAsia="Times New Roman" w:cs="Times New Roman"/>
          <w:sz w:val="24"/>
          <w:szCs w:val="24"/>
          <w:lang w:eastAsia="ru-RU"/>
        </w:rPr>
        <w:t xml:space="preserve"> номер советника</w:t>
      </w:r>
    </w:p>
    <w:p w:rsidR="00730C2F" w:rsidRPr="00730C2F" w:rsidRDefault="00730C2F" w:rsidP="00730C2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sz w:val="24"/>
          <w:szCs w:val="24"/>
          <w:lang w:eastAsia="ru-RU"/>
        </w:rPr>
        <w:t xml:space="preserve">В результате при проведении оптимизации по ценам открытия мы имеем следующий график </w:t>
      </w:r>
    </w:p>
    <w:p w:rsidR="00730C2F" w:rsidRPr="00730C2F" w:rsidRDefault="00730C2F" w:rsidP="00730C2F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30C2F">
        <w:rPr>
          <w:rFonts w:eastAsia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44DF6224" wp14:editId="48C4E907">
            <wp:extent cx="7143750" cy="641350"/>
            <wp:effectExtent l="0" t="0" r="0" b="6350"/>
            <wp:docPr id="1" name="Рисунок 1" descr="https://c.mql5.com/18/26/TesterGraph_small.gif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.mql5.com/18/26/TesterGraph_small.gif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AF2" w:rsidRDefault="00937AF2"/>
    <w:p w:rsidR="00730C2F" w:rsidRPr="004C5A49" w:rsidRDefault="00730C2F" w:rsidP="00730C2F">
      <w:pPr>
        <w:pStyle w:val="a3"/>
        <w:contextualSpacing/>
        <w:jc w:val="center"/>
        <w:rPr>
          <w:rFonts w:asciiTheme="minorHAnsi" w:hAnsiTheme="minorHAnsi"/>
        </w:rPr>
      </w:pPr>
      <w:r w:rsidRPr="004C5A49">
        <w:rPr>
          <w:rFonts w:asciiTheme="minorHAnsi" w:hAnsiTheme="minorHAnsi"/>
        </w:rPr>
        <w:t xml:space="preserve">Материал предоставлен информационным порталом </w:t>
      </w:r>
      <w:hyperlink r:id="rId13" w:history="1">
        <w:r w:rsidRPr="004C5A49">
          <w:rPr>
            <w:rStyle w:val="a4"/>
            <w:rFonts w:asciiTheme="minorHAnsi" w:hAnsiTheme="minorHAnsi"/>
          </w:rPr>
          <w:t>InfoFx.ru</w:t>
        </w:r>
      </w:hyperlink>
    </w:p>
    <w:p w:rsidR="00730C2F" w:rsidRPr="00730C2F" w:rsidRDefault="00730C2F">
      <w:bookmarkStart w:id="0" w:name="_GoBack"/>
      <w:bookmarkEnd w:id="0"/>
    </w:p>
    <w:sectPr w:rsidR="00730C2F" w:rsidRPr="00730C2F" w:rsidSect="00730C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1CE"/>
    <w:rsid w:val="00730C2F"/>
    <w:rsid w:val="00937AF2"/>
    <w:rsid w:val="00D8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0C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30C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0C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30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0C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0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C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30C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0C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30C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0C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30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0C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0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C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30C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70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57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1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infofx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.mql5.com/18/26/TesterGraph_2.gif" TargetMode="External"/><Relationship Id="rId12" Type="http://schemas.openxmlformats.org/officeDocument/2006/relationships/image" Target="media/image4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c.mql5.com/18/26/TesterGraph.gif" TargetMode="External"/><Relationship Id="rId5" Type="http://schemas.openxmlformats.org/officeDocument/2006/relationships/hyperlink" Target="https://c.mql5.com/18/26/ScreenShotw16.jp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s://c.mql5.com/18/26/TesterGraph2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Home-Block</dc:creator>
  <cp:keywords/>
  <dc:description/>
  <cp:lastModifiedBy>Home-Block</cp:lastModifiedBy>
  <cp:revision>2</cp:revision>
  <dcterms:created xsi:type="dcterms:W3CDTF">2017-03-18T08:48:00Z</dcterms:created>
  <dcterms:modified xsi:type="dcterms:W3CDTF">2017-03-18T08:49:00Z</dcterms:modified>
</cp:coreProperties>
</file>